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08"/>
        <w:tblW w:w="1077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C63A7" w:rsidTr="005C63A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3A7" w:rsidRDefault="005C63A7" w:rsidP="005C63A7">
            <w:pPr>
              <w:jc w:val="center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C63A7" w:rsidTr="005C63A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5C63A7" w:rsidTr="005C63A7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</w:p>
          <w:p w:rsidR="005C63A7" w:rsidRPr="0068572D" w:rsidRDefault="005C63A7" w:rsidP="005C63A7">
            <w:pPr>
              <w:rPr>
                <w:b/>
                <w:lang w:val="sr-Cyrl-RS"/>
              </w:rPr>
            </w:pP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DF585A" wp14:editId="794D3A14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5C63A7" w:rsidRPr="0068572D" w:rsidRDefault="005C63A7" w:rsidP="005C63A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5C63A7" w:rsidRDefault="005C63A7" w:rsidP="005C63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5C63A7" w:rsidRDefault="005C63A7" w:rsidP="005C63A7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A7" w:rsidRDefault="005C63A7" w:rsidP="005C63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САХРАЊИВАЊУ И ГРОБЉИМА</w:t>
            </w:r>
          </w:p>
          <w:p w:rsidR="005C63A7" w:rsidRDefault="00563AB4" w:rsidP="009E206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</w:t>
            </w:r>
            <w:r w:rsidR="005C63A7">
              <w:rPr>
                <w:b/>
                <w:lang w:val="sr-Cyrl-RS"/>
              </w:rPr>
              <w:t xml:space="preserve">.лист </w:t>
            </w:r>
            <w:r w:rsidR="005C63A7">
              <w:rPr>
                <w:b/>
              </w:rPr>
              <w:t>op</w:t>
            </w:r>
            <w:r w:rsidR="009E2064">
              <w:rPr>
                <w:b/>
                <w:lang w:val="sr-Cyrl-RS"/>
              </w:rPr>
              <w:t>штине Ражањ“ бр. 24/19</w:t>
            </w:r>
            <w:r w:rsidR="005C63A7">
              <w:rPr>
                <w:b/>
                <w:lang w:val="sr-Cyrl-RS"/>
              </w:rPr>
              <w:t>)</w:t>
            </w:r>
          </w:p>
        </w:tc>
      </w:tr>
      <w:tr w:rsidR="005C63A7" w:rsidTr="005C63A7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3A7" w:rsidRDefault="005C63A7" w:rsidP="005C63A7">
            <w:pPr>
              <w:jc w:val="center"/>
              <w:rPr>
                <w:b/>
                <w:lang w:val="sr-Latn-RS"/>
              </w:rPr>
            </w:pPr>
          </w:p>
        </w:tc>
      </w:tr>
      <w:tr w:rsidR="005C63A7" w:rsidTr="005C63A7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Гробља</w:t>
            </w:r>
          </w:p>
        </w:tc>
      </w:tr>
      <w:tr w:rsidR="005C63A7" w:rsidTr="005C63A7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1.1.   </w:t>
            </w:r>
            <w:r>
              <w:rPr>
                <w:b/>
                <w:sz w:val="20"/>
                <w:szCs w:val="20"/>
                <w:lang w:val="sr-Cyrl-RS"/>
              </w:rPr>
              <w:t>Основне одредбе</w:t>
            </w:r>
          </w:p>
        </w:tc>
      </w:tr>
      <w:tr w:rsidR="005C63A7" w:rsidTr="005C63A7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1.1.1.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Управљање гробљем, уређење и одржавање врши комунално предузеће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1.1.2.Управљање гробљем, уређење и одржавање врши Месна заједница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5C63A7" w:rsidTr="005C63A7">
        <w:trPr>
          <w:trHeight w:val="28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1.2.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Уређивање и одржавање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.2.1.Донет Програм уређења и одржавања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2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.Објекти на гробљу(капеле, јавни ВЦ , чесма) -уредно се одржавају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.Путеви и стазе унутар гробља уређени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.Путеви и стазе унутар гробља – уредно се одржавају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.2.5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.Посуде за сакупљање смећа обезбеђене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.2.6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.Редовно се уклања смеће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.2.7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.Редовно се одржава зеленило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.2.8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.Уклоњени венци и осушено цвеће 40 дана након сахране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 w:rsidR="001A18F6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.2.9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.Занатски радови се врше у складу са истакнутим редом на гробљу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6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.3.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Сахрањивање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.1.Сахрањивање се врши на гробљу које је одр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еђено Одлуком о одређивању гробаља на територији општине Ражањ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lastRenderedPageBreak/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2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.Сахрањивање се врши ван гробља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5C63A7" w:rsidTr="005C63A7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eastAsia="Calibri"/>
                <w:b/>
                <w:color w:val="000000"/>
                <w:spacing w:val="8"/>
                <w:sz w:val="20"/>
                <w:szCs w:val="20"/>
                <w:lang w:val="sr-Cyrl-RS" w:eastAsia="sr-Latn-CS"/>
              </w:rPr>
              <w:t>Одржавање реда на гробљу</w:t>
            </w:r>
          </w:p>
        </w:tc>
      </w:tr>
      <w:tr w:rsidR="005C63A7" w:rsidTr="005C63A7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.1.На видном месту истакнут ред на гробљу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C63A7" w:rsidTr="005C63A7">
        <w:trPr>
          <w:trHeight w:val="21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Latn-RS" w:eastAsia="sr-Latn-CS"/>
              </w:rPr>
              <w:t>1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</w:t>
            </w:r>
            <w:r w:rsidR="00B507B1"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.2.Ред на гробљу се поштује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3A7" w:rsidRDefault="005C63A7" w:rsidP="005C63A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="009E2064">
              <w:rPr>
                <w:sz w:val="20"/>
                <w:szCs w:val="20"/>
                <w:lang w:val="sr-Latn-RS"/>
              </w:rPr>
              <w:t>–</w:t>
            </w:r>
            <w:r>
              <w:rPr>
                <w:sz w:val="20"/>
                <w:szCs w:val="20"/>
                <w:lang w:val="sr-Latn-RS"/>
              </w:rPr>
              <w:t xml:space="preserve"> 0</w:t>
            </w:r>
          </w:p>
        </w:tc>
      </w:tr>
      <w:tr w:rsidR="009E2064" w:rsidTr="005C63A7">
        <w:trPr>
          <w:trHeight w:val="21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064" w:rsidRPr="009E2064" w:rsidRDefault="009E2064" w:rsidP="005C63A7">
            <w:pPr>
              <w:jc w:val="both"/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</w:pPr>
            <w:r>
              <w:rPr>
                <w:rFonts w:eastAsia="Calibri"/>
                <w:color w:val="000000"/>
                <w:spacing w:val="8"/>
                <w:sz w:val="20"/>
                <w:szCs w:val="20"/>
                <w:lang w:val="sr-Cyrl-RS" w:eastAsia="sr-Latn-CS"/>
              </w:rPr>
              <w:t>1.4.3. На видном месту истакнуто време када је гробље отворено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64" w:rsidRDefault="009E2064" w:rsidP="005C63A7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– 0</w:t>
            </w:r>
          </w:p>
        </w:tc>
      </w:tr>
    </w:tbl>
    <w:p w:rsidR="001C3594" w:rsidRDefault="001C3594"/>
    <w:p w:rsidR="00ED2158" w:rsidRDefault="00ED2158" w:rsidP="00ED2158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2158" w:rsidTr="00853A4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ED2158" w:rsidTr="00853A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9E2064" w:rsidP="00853A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C9222F" w:rsidRPr="00223A8D" w:rsidRDefault="00C9222F" w:rsidP="00C9222F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  <w:r>
        <w:rPr>
          <w:b/>
        </w:rPr>
        <w:t>РЕЗУЛТАТ НАДЗОРА У БОДОВИМА:</w:t>
      </w:r>
      <w:r>
        <w:rPr>
          <w:b/>
          <w:lang w:val="sr-Cyrl-RS"/>
        </w:rPr>
        <w:t xml:space="preserve"> ___</w:t>
      </w:r>
      <w:r>
        <w:rPr>
          <w:b/>
          <w:u w:val="single"/>
          <w:lang w:val="sr-Cyrl-RS"/>
        </w:rPr>
        <w:t>22</w:t>
      </w:r>
      <w:r>
        <w:rPr>
          <w:b/>
          <w:lang w:val="sr-Cyrl-RS"/>
        </w:rPr>
        <w:t>______</w:t>
      </w:r>
    </w:p>
    <w:p w:rsidR="00ED2158" w:rsidRDefault="00ED2158" w:rsidP="00ED2158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9E206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2</w:t>
            </w:r>
            <w:r w:rsidR="009E2064">
              <w:rPr>
                <w:b/>
                <w:lang w:val="sr-Cyrl-RS"/>
              </w:rPr>
              <w:t>6</w:t>
            </w:r>
            <w:r>
              <w:rPr>
                <w:b/>
                <w:lang w:val="sr-Cyrl-RS"/>
              </w:rPr>
              <w:t xml:space="preserve"> - 2</w:t>
            </w:r>
            <w:r w:rsidR="009E2064">
              <w:rPr>
                <w:b/>
                <w:lang w:val="sr-Latn-RS"/>
              </w:rPr>
              <w:t>8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9E206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r>
              <w:rPr>
                <w:b/>
                <w:lang w:val="sr-Cyrl-RS"/>
              </w:rPr>
              <w:t xml:space="preserve"> - 2</w:t>
            </w:r>
            <w:r w:rsidR="009E2064">
              <w:rPr>
                <w:b/>
                <w:lang w:val="sr-Cyrl-RS"/>
              </w:rPr>
              <w:t>4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Pr="00ED2158" w:rsidRDefault="00ED2158" w:rsidP="00853A4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 xml:space="preserve"> - 1</w:t>
            </w:r>
            <w:r>
              <w:rPr>
                <w:b/>
                <w:lang w:val="sr-Latn-RS"/>
              </w:rPr>
              <w:t>6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8 - 12</w:t>
            </w:r>
          </w:p>
        </w:tc>
      </w:tr>
      <w:tr w:rsidR="00ED2158" w:rsidTr="00853A4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58" w:rsidRDefault="00ED2158" w:rsidP="00853A4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0 - 6</w:t>
            </w:r>
          </w:p>
        </w:tc>
      </w:tr>
    </w:tbl>
    <w:p w:rsidR="00ED2158" w:rsidRDefault="00ED2158"/>
    <w:p w:rsidR="00C9222F" w:rsidRDefault="00C9222F"/>
    <w:p w:rsidR="00C9222F" w:rsidRDefault="00C9222F" w:rsidP="00C9222F">
      <w:pPr>
        <w:jc w:val="right"/>
        <w:rPr>
          <w:b/>
        </w:rPr>
      </w:pPr>
      <w:r>
        <w:rPr>
          <w:b/>
        </w:rPr>
        <w:t>П</w:t>
      </w:r>
      <w:r>
        <w:rPr>
          <w:b/>
          <w:lang w:val="sr-Cyrl-RS"/>
        </w:rPr>
        <w:t>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КОМУНАЛНИ ИНСПЕКТОР</w:t>
      </w:r>
    </w:p>
    <w:p w:rsidR="00C9222F" w:rsidRDefault="00C9222F" w:rsidP="00C9222F">
      <w:pPr>
        <w:jc w:val="both"/>
        <w:rPr>
          <w:b/>
        </w:rPr>
      </w:pPr>
      <w:r>
        <w:rPr>
          <w:b/>
          <w:lang w:val="sr-Cyrl-RS"/>
        </w:rPr>
        <w:t xml:space="preserve">    </w:t>
      </w: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sr-Cyrl-RS"/>
        </w:rPr>
        <w:t xml:space="preserve">    </w:t>
      </w:r>
      <w:r>
        <w:rPr>
          <w:b/>
        </w:rPr>
        <w:t xml:space="preserve">   </w:t>
      </w:r>
      <w:r>
        <w:rPr>
          <w:b/>
        </w:rPr>
        <w:t>_____________________</w:t>
      </w:r>
    </w:p>
    <w:p w:rsidR="00C9222F" w:rsidRPr="00FC42E0" w:rsidRDefault="00C9222F" w:rsidP="00C9222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</w:t>
      </w:r>
      <w:r>
        <w:rPr>
          <w:b/>
          <w:lang w:val="sr-Cyrl-RS"/>
        </w:rPr>
        <w:t>Весна Радојевић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</w:t>
      </w:r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RS"/>
        </w:rPr>
        <w:t xml:space="preserve">        </w:t>
      </w:r>
      <w:r>
        <w:rPr>
          <w:b/>
          <w:lang w:val="sr-Cyrl-RS"/>
        </w:rPr>
        <w:t xml:space="preserve">         </w:t>
      </w:r>
      <w:bookmarkStart w:id="0" w:name="_GoBack"/>
      <w:bookmarkEnd w:id="0"/>
      <w:r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Аница Мојашевић</w:t>
      </w:r>
    </w:p>
    <w:p w:rsidR="00C9222F" w:rsidRDefault="00C9222F"/>
    <w:sectPr w:rsidR="00C9222F" w:rsidSect="00ED215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7"/>
    <w:rsid w:val="00104D11"/>
    <w:rsid w:val="001A18F6"/>
    <w:rsid w:val="001C3594"/>
    <w:rsid w:val="00563AB4"/>
    <w:rsid w:val="005C63A7"/>
    <w:rsid w:val="007539F4"/>
    <w:rsid w:val="00951088"/>
    <w:rsid w:val="009E2064"/>
    <w:rsid w:val="00B507B1"/>
    <w:rsid w:val="00C9222F"/>
    <w:rsid w:val="00E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91FE6-887C-4A06-828E-57E186A4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A7"/>
    <w:pPr>
      <w:ind w:left="720"/>
      <w:contextualSpacing/>
    </w:pPr>
  </w:style>
  <w:style w:type="table" w:styleId="TableGrid">
    <w:name w:val="Table Grid"/>
    <w:basedOn w:val="TableNormal"/>
    <w:uiPriority w:val="59"/>
    <w:rsid w:val="005C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dcterms:created xsi:type="dcterms:W3CDTF">2017-02-03T08:56:00Z</dcterms:created>
  <dcterms:modified xsi:type="dcterms:W3CDTF">2020-02-10T11:38:00Z</dcterms:modified>
</cp:coreProperties>
</file>